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64" w:rsidRDefault="00951764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</w:rPr>
      </w:pPr>
    </w:p>
    <w:p w:rsidR="00951764" w:rsidRPr="002A469D" w:rsidRDefault="00951764" w:rsidP="00951764">
      <w:pPr>
        <w:spacing w:before="100" w:beforeAutospacing="1" w:after="100" w:afterAutospacing="1" w:line="240" w:lineRule="auto"/>
        <w:contextualSpacing/>
        <w:jc w:val="right"/>
        <w:rPr>
          <w:rFonts w:ascii="Arial Unicode" w:hAnsi="Arial Unicode"/>
          <w:color w:val="FF0000"/>
          <w:lang w:val="af-ZA"/>
        </w:rPr>
      </w:pPr>
      <w:proofErr w:type="spellStart"/>
      <w:r w:rsidRPr="002A469D">
        <w:rPr>
          <w:rFonts w:ascii="Arial Unicode" w:hAnsi="Arial Unicode"/>
          <w:color w:val="FF0000"/>
        </w:rPr>
        <w:t>Հավելված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1</w:t>
      </w:r>
    </w:p>
    <w:p w:rsidR="00951764" w:rsidRPr="002A469D" w:rsidRDefault="00951764" w:rsidP="00951764">
      <w:pPr>
        <w:spacing w:before="100" w:beforeAutospacing="1" w:after="100" w:afterAutospacing="1" w:line="240" w:lineRule="auto"/>
        <w:contextualSpacing/>
        <w:jc w:val="right"/>
        <w:rPr>
          <w:rFonts w:ascii="Arial Unicode" w:hAnsi="Arial Unicode"/>
          <w:color w:val="FF0000"/>
          <w:lang w:val="af-ZA"/>
        </w:rPr>
      </w:pPr>
      <w:proofErr w:type="spellStart"/>
      <w:r w:rsidRPr="002A469D">
        <w:rPr>
          <w:rFonts w:ascii="Arial Unicode" w:hAnsi="Arial Unicode"/>
          <w:color w:val="FF0000"/>
        </w:rPr>
        <w:t>Կոտայքի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</w:t>
      </w:r>
      <w:proofErr w:type="spellStart"/>
      <w:r w:rsidRPr="002A469D">
        <w:rPr>
          <w:rFonts w:ascii="Arial Unicode" w:hAnsi="Arial Unicode"/>
          <w:color w:val="FF0000"/>
        </w:rPr>
        <w:t>մարզի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</w:t>
      </w:r>
      <w:proofErr w:type="spellStart"/>
      <w:r w:rsidRPr="002A469D">
        <w:rPr>
          <w:rFonts w:ascii="Arial Unicode" w:hAnsi="Arial Unicode"/>
          <w:color w:val="FF0000"/>
        </w:rPr>
        <w:t>Գառնի</w:t>
      </w:r>
      <w:proofErr w:type="spellEnd"/>
    </w:p>
    <w:p w:rsidR="00951764" w:rsidRPr="002A469D" w:rsidRDefault="00951764" w:rsidP="00951764">
      <w:pPr>
        <w:spacing w:before="100" w:beforeAutospacing="1" w:after="100" w:afterAutospacing="1" w:line="240" w:lineRule="auto"/>
        <w:contextualSpacing/>
        <w:jc w:val="right"/>
        <w:rPr>
          <w:rFonts w:ascii="Arial Unicode" w:hAnsi="Arial Unicode"/>
          <w:color w:val="FF0000"/>
          <w:lang w:val="af-ZA"/>
        </w:rPr>
      </w:pPr>
      <w:proofErr w:type="spellStart"/>
      <w:r w:rsidRPr="002A469D">
        <w:rPr>
          <w:rFonts w:ascii="Arial Unicode" w:hAnsi="Arial Unicode"/>
          <w:color w:val="FF0000"/>
        </w:rPr>
        <w:t>Համայնքի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</w:t>
      </w:r>
      <w:proofErr w:type="spellStart"/>
      <w:r w:rsidRPr="002A469D">
        <w:rPr>
          <w:rFonts w:ascii="Arial Unicode" w:hAnsi="Arial Unicode"/>
          <w:color w:val="FF0000"/>
        </w:rPr>
        <w:t>ավագանու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</w:t>
      </w:r>
      <w:r>
        <w:rPr>
          <w:rFonts w:ascii="Arial Unicode" w:hAnsi="Arial Unicode"/>
          <w:color w:val="FF0000"/>
          <w:lang w:val="af-ZA"/>
        </w:rPr>
        <w:t>22 նոյեմբերի</w:t>
      </w:r>
      <w:r w:rsidRPr="002A469D">
        <w:rPr>
          <w:rFonts w:ascii="Arial Unicode" w:hAnsi="Arial Unicode"/>
          <w:color w:val="FF0000"/>
          <w:lang w:val="af-ZA"/>
        </w:rPr>
        <w:t xml:space="preserve"> 2022</w:t>
      </w:r>
      <w:r>
        <w:rPr>
          <w:rFonts w:ascii="Arial Unicode" w:hAnsi="Arial Unicode"/>
          <w:color w:val="FF0000"/>
          <w:lang w:val="af-ZA"/>
        </w:rPr>
        <w:t xml:space="preserve"> </w:t>
      </w:r>
      <w:proofErr w:type="spellStart"/>
      <w:r w:rsidRPr="002A469D">
        <w:rPr>
          <w:rFonts w:ascii="Arial Unicode" w:hAnsi="Arial Unicode"/>
          <w:color w:val="FF0000"/>
        </w:rPr>
        <w:t>թվականի</w:t>
      </w:r>
      <w:proofErr w:type="spellEnd"/>
      <w:r w:rsidRPr="002A469D">
        <w:rPr>
          <w:rFonts w:ascii="Arial Unicode" w:hAnsi="Arial Unicode"/>
          <w:color w:val="FF0000"/>
          <w:lang w:val="af-ZA"/>
        </w:rPr>
        <w:t xml:space="preserve">  </w:t>
      </w:r>
    </w:p>
    <w:p w:rsidR="00951764" w:rsidRPr="002A469D" w:rsidRDefault="00951764" w:rsidP="00951764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/>
          <w:color w:val="FF0000"/>
          <w:lang w:val="af-ZA"/>
        </w:rPr>
      </w:pPr>
    </w:p>
    <w:p w:rsidR="00951764" w:rsidRPr="002A469D" w:rsidRDefault="00951764" w:rsidP="00951764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/>
          <w:color w:val="FF0000"/>
          <w:lang w:val="af-ZA"/>
        </w:rPr>
      </w:pPr>
      <w:r w:rsidRPr="002A469D">
        <w:rPr>
          <w:rFonts w:ascii="Arial Unicode" w:eastAsia="Times New Roman" w:hAnsi="Arial Unicode"/>
          <w:color w:val="FF0000"/>
          <w:lang w:val="af-ZA"/>
        </w:rPr>
        <w:t xml:space="preserve">N  </w:t>
      </w:r>
      <w:r w:rsidR="00652290">
        <w:rPr>
          <w:rFonts w:ascii="Arial Unicode" w:eastAsia="Times New Roman" w:hAnsi="Arial Unicode"/>
          <w:color w:val="FF0000"/>
          <w:lang w:val="af-ZA"/>
        </w:rPr>
        <w:t>148</w:t>
      </w:r>
      <w:r w:rsidRPr="002A469D">
        <w:rPr>
          <w:rFonts w:ascii="Arial Unicode" w:eastAsia="Times New Roman" w:hAnsi="Arial Unicode"/>
          <w:color w:val="FF0000"/>
          <w:lang w:val="af-ZA"/>
        </w:rPr>
        <w:t xml:space="preserve">-Ա </w:t>
      </w:r>
      <w:proofErr w:type="spellStart"/>
      <w:r w:rsidRPr="002A469D">
        <w:rPr>
          <w:rFonts w:ascii="Arial Unicode" w:eastAsia="Times New Roman" w:hAnsi="Arial Unicode"/>
          <w:color w:val="FF0000"/>
        </w:rPr>
        <w:t>որոշման</w:t>
      </w:r>
      <w:proofErr w:type="spellEnd"/>
    </w:p>
    <w:p w:rsidR="00951764" w:rsidRPr="00652290" w:rsidRDefault="00951764" w:rsidP="00951764">
      <w:pPr>
        <w:spacing w:line="240" w:lineRule="auto"/>
        <w:ind w:left="-180" w:right="355"/>
        <w:jc w:val="right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951764" w:rsidRPr="00652290" w:rsidRDefault="00951764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2565E5" w:rsidRPr="00652290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>ՆԱԽԱԳԾՄԱՆ</w:t>
      </w:r>
      <w:r w:rsidRPr="00652290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ԱՌԱՋԱԴՐԱՆՔ</w:t>
      </w:r>
    </w:p>
    <w:p w:rsidR="002565E5" w:rsidRPr="0069576B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</w:rPr>
      </w:pP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Հայաստանի</w:t>
      </w:r>
      <w:proofErr w:type="spellEnd"/>
      <w:r w:rsidRPr="0069576B">
        <w:rPr>
          <w:rFonts w:ascii="GHEA Grapalat" w:hAnsi="GHEA Grapalat" w:cs="Arial Armenia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Կոտայ</w:t>
      </w:r>
      <w:r w:rsidRPr="0069576B">
        <w:rPr>
          <w:rFonts w:ascii="GHEA Grapalat" w:hAnsi="GHEA Grapalat" w:cs="Sylfaen"/>
          <w:b/>
          <w:sz w:val="20"/>
          <w:szCs w:val="20"/>
        </w:rPr>
        <w:t>քի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մարզի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միկրոռեգիոնալ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մակարդակի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`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համակցված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տարածական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պլանավորման</w:t>
      </w:r>
      <w:proofErr w:type="spellEnd"/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փաստաթղթերի</w:t>
      </w:r>
      <w:proofErr w:type="spellEnd"/>
      <w:r w:rsidRPr="0069576B">
        <w:rPr>
          <w:rFonts w:ascii="GHEA Grapalat" w:hAnsi="GHEA Grapalat" w:cs="Arial Armenia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նախագծերի</w:t>
      </w:r>
      <w:proofErr w:type="spellEnd"/>
      <w:r w:rsidRPr="0069576B">
        <w:rPr>
          <w:rFonts w:ascii="GHEA Grapalat" w:hAnsi="GHEA Grapalat" w:cs="Arial Armenian"/>
          <w:b/>
          <w:sz w:val="20"/>
          <w:szCs w:val="20"/>
          <w:lang w:val="af-ZA"/>
        </w:rPr>
        <w:t xml:space="preserve"> մշակ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ման</w:t>
      </w:r>
      <w:proofErr w:type="spellEnd"/>
    </w:p>
    <w:p w:rsidR="002565E5" w:rsidRPr="0069576B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>Կոտայ</w:t>
      </w:r>
      <w:r w:rsidRPr="0069576B">
        <w:rPr>
          <w:rFonts w:ascii="GHEA Grapalat" w:hAnsi="GHEA Grapalat" w:cs="Sylfaen"/>
          <w:b/>
          <w:sz w:val="20"/>
          <w:szCs w:val="20"/>
        </w:rPr>
        <w:t>ք</w:t>
      </w:r>
      <w:r>
        <w:rPr>
          <w:rFonts w:ascii="GHEA Grapalat" w:hAnsi="GHEA Grapalat" w:cs="Sylfaen"/>
          <w:b/>
          <w:sz w:val="20"/>
          <w:szCs w:val="20"/>
        </w:rPr>
        <w:t>-9</w:t>
      </w:r>
      <w:r w:rsidRPr="0069576B">
        <w:rPr>
          <w:rFonts w:ascii="GHEA Grapalat" w:hAnsi="GHEA Grapalat" w:cs="Sylfaen"/>
          <w:b/>
          <w:sz w:val="20"/>
          <w:szCs w:val="20"/>
        </w:rPr>
        <w:t xml:space="preserve"> </w:t>
      </w:r>
    </w:p>
    <w:p w:rsidR="002565E5" w:rsidRPr="00FE0CF1" w:rsidRDefault="002565E5" w:rsidP="002565E5">
      <w:pPr>
        <w:pStyle w:val="norm"/>
        <w:spacing w:line="240" w:lineRule="auto"/>
        <w:ind w:left="-450" w:right="-270" w:firstLine="360"/>
        <w:jc w:val="center"/>
        <w:rPr>
          <w:rFonts w:ascii="GHEA Grapalat" w:hAnsi="GHEA Grapalat" w:cs="Arial Armenian"/>
          <w:b/>
          <w:sz w:val="22"/>
          <w:szCs w:val="22"/>
          <w:lang w:val="af-ZA"/>
        </w:rPr>
      </w:pPr>
      <w:r>
        <w:rPr>
          <w:rFonts w:ascii="GHEA Grapalat" w:hAnsi="GHEA Grapalat" w:cs="Arial Armenian"/>
          <w:b/>
          <w:sz w:val="22"/>
          <w:szCs w:val="22"/>
          <w:lang w:val="af-ZA"/>
        </w:rPr>
        <w:t>Կոտայքի</w:t>
      </w:r>
      <w:r w:rsidRPr="00FE0CF1">
        <w:rPr>
          <w:rFonts w:ascii="GHEA Grapalat" w:hAnsi="GHEA Grapalat" w:cs="Arial Armenian"/>
          <w:b/>
          <w:sz w:val="22"/>
          <w:szCs w:val="22"/>
          <w:lang w:val="af-ZA"/>
        </w:rPr>
        <w:t xml:space="preserve"> տարածաշրջան</w:t>
      </w:r>
    </w:p>
    <w:p w:rsidR="002565E5" w:rsidRPr="00627F07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b/>
          <w:lang w:val="af-ZA"/>
        </w:rPr>
        <w:t>Գառնի խոշորացված համայնք</w:t>
      </w:r>
      <w:r w:rsidRPr="00246EE7">
        <w:rPr>
          <w:rFonts w:ascii="GHEA Grapalat" w:hAnsi="GHEA Grapalat" w:cs="Arial Armenian"/>
          <w:b/>
          <w:lang w:val="af-ZA"/>
        </w:rPr>
        <w:t>-</w:t>
      </w:r>
      <w:r w:rsidRPr="00246EE7">
        <w:t xml:space="preserve"> </w:t>
      </w:r>
      <w:r w:rsidRPr="00627F07">
        <w:rPr>
          <w:rFonts w:ascii="GHEA Grapalat" w:hAnsi="GHEA Grapalat" w:cs="Arial Armenian"/>
          <w:lang w:val="af-ZA"/>
        </w:rPr>
        <w:t>Գառնի, Գեղադիր, Գեղարդ, Գողթ, Հացավան, Ողջաբերդ, /6 բնակավայր</w:t>
      </w:r>
      <w:r w:rsidRPr="00627F07">
        <w:rPr>
          <w:rFonts w:ascii="GHEA Grapalat" w:hAnsi="GHEA Grapalat"/>
          <w:lang w:val="af-ZA"/>
        </w:rPr>
        <w:t>/:</w:t>
      </w:r>
    </w:p>
    <w:p w:rsidR="002565E5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sz w:val="24"/>
          <w:szCs w:val="24"/>
          <w:lang w:val="af-ZA"/>
        </w:rPr>
      </w:pPr>
    </w:p>
    <w:p w:rsidR="002565E5" w:rsidRPr="0011239C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</w:p>
    <w:p w:rsidR="002565E5" w:rsidRPr="0069576B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Cs/>
          <w:color w:val="632423"/>
          <w:sz w:val="20"/>
          <w:szCs w:val="20"/>
          <w:lang w:val="af-ZA"/>
        </w:rPr>
      </w:pPr>
    </w:p>
    <w:p w:rsidR="002565E5" w:rsidRPr="0069576B" w:rsidRDefault="008165AD" w:rsidP="008165AD">
      <w:pPr>
        <w:pStyle w:val="ListParagraph"/>
        <w:spacing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1.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Համայնքների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բնութագիրը</w:t>
      </w:r>
      <w:proofErr w:type="spellEnd"/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988"/>
        <w:gridCol w:w="2070"/>
        <w:gridCol w:w="990"/>
        <w:gridCol w:w="2430"/>
        <w:gridCol w:w="1093"/>
      </w:tblGrid>
      <w:tr w:rsidR="002565E5" w:rsidRPr="0069576B" w:rsidTr="00F95850">
        <w:tc>
          <w:tcPr>
            <w:tcW w:w="2988" w:type="dxa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բնակչության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թիվը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`</w:t>
            </w:r>
          </w:p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գրանցված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/</w:t>
            </w:r>
          </w:p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փաստացի</w:t>
            </w:r>
            <w:proofErr w:type="spellEnd"/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մարդ</w:t>
            </w:r>
            <w:proofErr w:type="spellEnd"/>
          </w:p>
        </w:tc>
        <w:tc>
          <w:tcPr>
            <w:tcW w:w="2430" w:type="dxa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վարչական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սահմաններում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ընդգրկված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`  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color w:val="632423"/>
                <w:lang w:val="hy-AM"/>
              </w:rPr>
            </w:pPr>
            <w:r>
              <w:rPr>
                <w:rFonts w:ascii="GHEA Grapalat" w:hAnsi="GHEA Grapalat" w:cs="Sylfaen"/>
                <w:color w:val="632423"/>
                <w:lang w:val="hy-AM"/>
              </w:rPr>
              <w:t>8225/7920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"/>
              <w:spacing w:after="0"/>
              <w:ind w:left="0"/>
              <w:jc w:val="both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706207" w:rsidRDefault="00B76A82" w:rsidP="00F95850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  <w:lang w:val="af-ZA"/>
              </w:rPr>
              <w:t>10097.41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723/787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706207" w:rsidRDefault="00B76A82" w:rsidP="00F95850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  <w:t>1366.19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344/300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706207" w:rsidRDefault="00B76A82" w:rsidP="00F95850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  <w:t>3761.20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2101/286</w:t>
            </w:r>
          </w:p>
        </w:tc>
        <w:tc>
          <w:tcPr>
            <w:tcW w:w="990" w:type="dxa"/>
          </w:tcPr>
          <w:p w:rsidR="002565E5" w:rsidRPr="006C675F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B76A82" w:rsidRDefault="00B76A82" w:rsidP="00F95850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en-US"/>
              </w:rPr>
              <w:t>4753.33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593/</w:t>
            </w:r>
            <w:r w:rsidR="0080774E">
              <w:rPr>
                <w:rFonts w:ascii="GHEA Grapalat" w:hAnsi="GHEA Grapalat" w:cs="Arial Armenian"/>
                <w:color w:val="632423"/>
                <w:sz w:val="20"/>
                <w:szCs w:val="20"/>
              </w:rPr>
              <w:t>543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B76A82" w:rsidRDefault="00B76A82" w:rsidP="00F95850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</w:pPr>
            <w:r w:rsidRPr="00B76A82"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  <w:t>1779.75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2070" w:type="dxa"/>
          </w:tcPr>
          <w:p w:rsidR="002565E5" w:rsidRPr="005924AE" w:rsidRDefault="005924AE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950</w:t>
            </w:r>
            <w:r w:rsidR="0080774E">
              <w:rPr>
                <w:rFonts w:ascii="GHEA Grapalat" w:hAnsi="GHEA Grapalat" w:cs="Arial Armenian"/>
                <w:color w:val="632423"/>
                <w:sz w:val="20"/>
                <w:szCs w:val="20"/>
              </w:rPr>
              <w:t>/900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B76A82" w:rsidRDefault="00B76A82" w:rsidP="00F95850">
            <w:pPr>
              <w:pStyle w:val="ListParagraph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</w:pPr>
            <w:r w:rsidRPr="00B76A82">
              <w:rPr>
                <w:rFonts w:ascii="GHEA Grapalat" w:hAnsi="GHEA Grapalat" w:cs="Arial Armenian"/>
                <w:b/>
                <w:color w:val="632423"/>
                <w:sz w:val="20"/>
                <w:szCs w:val="20"/>
                <w:lang w:val="af-ZA"/>
              </w:rPr>
              <w:t>1394.07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69576B" w:rsidRDefault="002565E5" w:rsidP="00F95850">
            <w:pPr>
              <w:pStyle w:val="a"/>
              <w:spacing w:after="0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2070" w:type="dxa"/>
          </w:tcPr>
          <w:p w:rsidR="002565E5" w:rsidRPr="00E93FE0" w:rsidRDefault="00E93FE0" w:rsidP="00F95850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12936/10736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555334" w:rsidRDefault="00555334" w:rsidP="00F95850">
            <w:pPr>
              <w:pStyle w:val="a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  <w:lang w:val="en-US"/>
              </w:rPr>
            </w:pPr>
            <w:r w:rsidRPr="00555334"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  <w:lang w:val="en-US"/>
              </w:rPr>
              <w:t>23151.95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"/>
              <w:spacing w:after="0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2565E5" w:rsidRPr="0069576B" w:rsidTr="00F95850">
        <w:tc>
          <w:tcPr>
            <w:tcW w:w="9571" w:type="dxa"/>
            <w:gridSpan w:val="5"/>
          </w:tcPr>
          <w:p w:rsidR="002565E5" w:rsidRPr="0069576B" w:rsidRDefault="002565E5" w:rsidP="00F95850">
            <w:pPr>
              <w:pStyle w:val="a"/>
              <w:numPr>
                <w:ilvl w:val="0"/>
                <w:numId w:val="2"/>
              </w:numPr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համայնքների հողային հաշվեկշիռները կցվում են </w:t>
            </w:r>
          </w:p>
        </w:tc>
      </w:tr>
    </w:tbl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831AC1" w:rsidP="00831AC1">
      <w:pPr>
        <w:pStyle w:val="ListParagraph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2.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Ռեսուրսների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տեսակները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արտադրության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գերիշխող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ճյուղերը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proofErr w:type="gram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ինժեներատրանսպորտային</w:t>
      </w:r>
      <w:proofErr w:type="spellEnd"/>
      <w:proofErr w:type="gram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ապահովվածությունը</w:t>
      </w:r>
      <w:proofErr w:type="spellEnd"/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29"/>
        <w:gridCol w:w="7976"/>
      </w:tblGrid>
      <w:tr w:rsidR="002565E5" w:rsidRPr="0069576B" w:rsidTr="00F95850">
        <w:tc>
          <w:tcPr>
            <w:tcW w:w="974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2.1.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բնական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բուժական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առողջարարական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հանքահումքային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և</w:t>
            </w:r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պաշարների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en-US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en-US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en-US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en-US"/>
              </w:rPr>
            </w:pPr>
          </w:p>
        </w:tc>
      </w:tr>
      <w:tr w:rsidR="002565E5" w:rsidRPr="00951764" w:rsidTr="00F95850">
        <w:tc>
          <w:tcPr>
            <w:tcW w:w="974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2.2.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արտադրությքան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գերիշխող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ճյուղերի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4026" w:type="pct"/>
          </w:tcPr>
          <w:p w:rsidR="002565E5" w:rsidRPr="00097AF0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lastRenderedPageBreak/>
              <w:t>Գեղադիր</w:t>
            </w:r>
          </w:p>
        </w:tc>
        <w:tc>
          <w:tcPr>
            <w:tcW w:w="4026" w:type="pct"/>
          </w:tcPr>
          <w:p w:rsidR="002565E5" w:rsidRPr="00097AF0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4026" w:type="pct"/>
          </w:tcPr>
          <w:p w:rsidR="002565E5" w:rsidRPr="0069576B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4026" w:type="pct"/>
          </w:tcPr>
          <w:p w:rsidR="002565E5" w:rsidRPr="0069576B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4026" w:type="pct"/>
          </w:tcPr>
          <w:p w:rsidR="002565E5" w:rsidRPr="0069576B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4026" w:type="pct"/>
          </w:tcPr>
          <w:p w:rsidR="002565E5" w:rsidRPr="0069576B" w:rsidRDefault="00246BDD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Գյուղատնտեսություն և անասնապահություն</w:t>
            </w:r>
          </w:p>
        </w:tc>
      </w:tr>
      <w:tr w:rsidR="002565E5" w:rsidRPr="00951764" w:rsidTr="00F95850">
        <w:tc>
          <w:tcPr>
            <w:tcW w:w="974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 xml:space="preserve">2.3. 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տվյալներ համայնքի սոցիալ-կենցաղային, ինժեներատրանսպորտային և կոմունալ ենթակառուցվածքների վերաբերյալ</w:t>
            </w:r>
          </w:p>
        </w:tc>
      </w:tr>
      <w:tr w:rsidR="002565E5" w:rsidRPr="00951764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4026" w:type="pct"/>
          </w:tcPr>
          <w:p w:rsidR="002565E5" w:rsidRPr="0069576B" w:rsidRDefault="00FA072F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Ջրամատակարարում, ջրահեռացում, գազաֆիկացում, 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սնուցում, բարեկարգ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տեղական նշանակության ճանապարհներ</w:t>
            </w:r>
          </w:p>
        </w:tc>
      </w:tr>
      <w:tr w:rsidR="002565E5" w:rsidRPr="00951764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4026" w:type="pct"/>
          </w:tcPr>
          <w:p w:rsidR="002565E5" w:rsidRPr="00D83CEC" w:rsidRDefault="00FA072F" w:rsidP="00FA072F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Ջրամատակարարում,  գազաֆիկացում, 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սնուցում, բարեկարգ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տեղական նշանակության ճանապարհներ</w:t>
            </w:r>
          </w:p>
        </w:tc>
      </w:tr>
      <w:tr w:rsidR="002565E5" w:rsidRPr="00FA072F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4026" w:type="pct"/>
          </w:tcPr>
          <w:p w:rsidR="002565E5" w:rsidRPr="0069576B" w:rsidRDefault="00FA072F" w:rsidP="00FA072F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Ջրամատակարարում, գազաֆիկացում, 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սնուցում</w:t>
            </w:r>
          </w:p>
        </w:tc>
      </w:tr>
      <w:tr w:rsidR="002565E5" w:rsidRPr="00951764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4026" w:type="pct"/>
          </w:tcPr>
          <w:p w:rsidR="002565E5" w:rsidRPr="0069576B" w:rsidRDefault="00FA072F" w:rsidP="00FA072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Ջրամատակարարում, գազաֆիկացում, 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սնուցում, բարեկարգ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տեղական նշանակության ճանապարհներ</w:t>
            </w:r>
          </w:p>
        </w:tc>
      </w:tr>
      <w:tr w:rsidR="002565E5" w:rsidRPr="00FA072F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4026" w:type="pct"/>
          </w:tcPr>
          <w:p w:rsidR="002565E5" w:rsidRPr="0069576B" w:rsidRDefault="00FA072F" w:rsidP="00FA072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Ջրամատակարարում,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գազաֆիկացում, 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սնուցում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4026" w:type="pct"/>
          </w:tcPr>
          <w:p w:rsidR="002565E5" w:rsidRPr="0069576B" w:rsidRDefault="00FA072F" w:rsidP="00FA072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Ջրամատակարարում,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էլ.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</w:t>
            </w:r>
            <w:r w:rsidRPr="00822502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սնուցում</w:t>
            </w: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/>
        </w:rPr>
      </w:pPr>
    </w:p>
    <w:p w:rsidR="002565E5" w:rsidRPr="0092790F" w:rsidRDefault="002565E5" w:rsidP="0092790F">
      <w:pPr>
        <w:pStyle w:val="ListParagraph"/>
        <w:numPr>
          <w:ilvl w:val="0"/>
          <w:numId w:val="12"/>
        </w:numPr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92790F">
        <w:rPr>
          <w:rFonts w:ascii="GHEA Grapalat" w:hAnsi="GHEA Grapalat" w:cs="Sylfaen"/>
          <w:b/>
          <w:bCs/>
          <w:sz w:val="20"/>
          <w:szCs w:val="20"/>
        </w:rPr>
        <w:t>Համայնք</w:t>
      </w:r>
      <w:proofErr w:type="spellStart"/>
      <w:r w:rsidRPr="0092790F">
        <w:rPr>
          <w:rFonts w:ascii="GHEA Grapalat" w:hAnsi="GHEA Grapalat" w:cs="Sylfaen"/>
          <w:b/>
          <w:bCs/>
          <w:sz w:val="20"/>
          <w:szCs w:val="20"/>
          <w:lang w:val="en-US"/>
        </w:rPr>
        <w:t>ներ</w:t>
      </w:r>
      <w:proofErr w:type="spellEnd"/>
      <w:r w:rsidRPr="0092790F">
        <w:rPr>
          <w:rFonts w:ascii="GHEA Grapalat" w:hAnsi="GHEA Grapalat" w:cs="Sylfaen"/>
          <w:b/>
          <w:bCs/>
          <w:sz w:val="20"/>
          <w:szCs w:val="20"/>
        </w:rPr>
        <w:t>ի</w:t>
      </w:r>
      <w:r w:rsidRPr="0092790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92790F">
        <w:rPr>
          <w:rFonts w:ascii="GHEA Grapalat" w:hAnsi="GHEA Grapalat" w:cs="Sylfaen"/>
          <w:b/>
          <w:bCs/>
          <w:sz w:val="20"/>
          <w:szCs w:val="20"/>
        </w:rPr>
        <w:t xml:space="preserve">զարգացման հիմնական </w:t>
      </w:r>
      <w:proofErr w:type="spellStart"/>
      <w:r w:rsidRPr="0092790F">
        <w:rPr>
          <w:rFonts w:ascii="GHEA Grapalat" w:hAnsi="GHEA Grapalat" w:cs="Sylfaen"/>
          <w:b/>
          <w:bCs/>
          <w:sz w:val="20"/>
          <w:szCs w:val="20"/>
          <w:lang w:val="en-US"/>
        </w:rPr>
        <w:t>խնդիրները</w:t>
      </w:r>
      <w:proofErr w:type="spellEnd"/>
      <w:r w:rsidRPr="0092790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92790F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92790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92790F">
        <w:rPr>
          <w:rFonts w:ascii="GHEA Grapalat" w:hAnsi="GHEA Grapalat" w:cs="Sylfaen"/>
          <w:b/>
          <w:bCs/>
          <w:sz w:val="20"/>
          <w:szCs w:val="20"/>
        </w:rPr>
        <w:t>հեռանկարային ուղղությունները</w:t>
      </w:r>
    </w:p>
    <w:p w:rsidR="002565E5" w:rsidRPr="0069576B" w:rsidRDefault="002565E5" w:rsidP="002565E5">
      <w:pPr>
        <w:pStyle w:val="ListParagraph"/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26"/>
        <w:gridCol w:w="7979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3.1. 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ծրագրից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բխող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`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սոցիալական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մշակութային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արդյունաբերական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ինժեներատրանսպորտային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համակարգերի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կատարելագործմանը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ներկայացվող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հիմնական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պահանջները</w:t>
            </w:r>
            <w:proofErr w:type="spellEnd"/>
          </w:p>
          <w:p w:rsidR="002565E5" w:rsidRPr="0069576B" w:rsidRDefault="002565E5" w:rsidP="00F95850">
            <w:pPr>
              <w:pStyle w:val="a"/>
              <w:spacing w:after="0" w:line="240" w:lineRule="auto"/>
              <w:ind w:left="73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color w:val="632423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p w:rsidR="00FA072F" w:rsidRPr="00391F2C" w:rsidRDefault="00FA072F" w:rsidP="00FA072F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B75234">
        <w:rPr>
          <w:rFonts w:ascii="GHEA Grapalat" w:eastAsia="MS Mincho" w:hAnsi="GHEA Grapalat" w:cs="MS Mincho"/>
          <w:color w:val="215868" w:themeColor="accent5" w:themeShade="80"/>
          <w:sz w:val="24"/>
          <w:szCs w:val="24"/>
          <w:lang w:val="hy-AM" w:bidi="hy-AM"/>
        </w:rPr>
        <w:t>Բնակավայրի տարածական զարգացման հիմնական հայեցակարգային դրույթներից մեկն է՝ արտակարգ իրավիճակների հետևանքով առաջացող հնարավոր ազդեցության նվազեցմանն ուղղված միջոցառումների իրականացումը։</w:t>
      </w:r>
    </w:p>
    <w:p w:rsidR="00FA072F" w:rsidRPr="00391F2C" w:rsidRDefault="00FA072F" w:rsidP="00FA072F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</w:r>
    </w:p>
    <w:p w:rsidR="00FA072F" w:rsidRPr="00391F2C" w:rsidRDefault="00FA072F" w:rsidP="00FA072F">
      <w:pPr>
        <w:numPr>
          <w:ilvl w:val="0"/>
          <w:numId w:val="13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Նախագծային լուծումներն ընտրելիս հաշվի առնել համայնքների զարգացման ծրագրերով և ՀՀ Կոտայքի մարզի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2017-2025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թվականների զարգացման ռազմավարությամբ սահմանված դրույթները, աոանձին համայնքներին վերաբերող հաստատված ներդրումային ծրագրերը:</w:t>
      </w:r>
    </w:p>
    <w:p w:rsidR="00FA072F" w:rsidRPr="00391F2C" w:rsidRDefault="00FA072F" w:rsidP="00FA072F">
      <w:pPr>
        <w:numPr>
          <w:ilvl w:val="0"/>
          <w:numId w:val="13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Նախագծային լուծումները նպատակաուղղել համայնքների զարգացմանը, դրանցում առկա ներուժի օգտագործմանն ու ուժեղացմանը, տարածքների համաչափ զարգացման ապահովմանը հատուկ ուշադրություն դարձնելով թույլ զարգացած տարածքներում ներդրումների համար նպաստավոր ոլորտների բացահայտմանը և համապատասխան գոտիների ընտրությանը:</w:t>
      </w:r>
    </w:p>
    <w:p w:rsidR="00FA072F" w:rsidRPr="00391F2C" w:rsidRDefault="00FA072F" w:rsidP="00FA072F">
      <w:pPr>
        <w:numPr>
          <w:ilvl w:val="0"/>
          <w:numId w:val="13"/>
        </w:num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lastRenderedPageBreak/>
        <w:t xml:space="preserve"> Տարածքային զարգացման քաղաքականության բարելավման, պլանավորման ու իրականացման գործընթացներում ապահովել տարածքային ու տեղական դերակատարների առավել ակտիվ մասնակցությունը: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 xml:space="preserve"> </w:t>
      </w:r>
    </w:p>
    <w:p w:rsidR="002565E5" w:rsidRDefault="002565E5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FA072F" w:rsidRPr="00FA072F" w:rsidRDefault="00FA072F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hy-AM"/>
        </w:rPr>
      </w:pPr>
    </w:p>
    <w:p w:rsidR="00D025AE" w:rsidRPr="00D025AE" w:rsidRDefault="002565E5" w:rsidP="00D025AE">
      <w:pPr>
        <w:pStyle w:val="ListParagraph"/>
        <w:numPr>
          <w:ilvl w:val="0"/>
          <w:numId w:val="12"/>
        </w:numPr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D025AE">
        <w:rPr>
          <w:rFonts w:ascii="GHEA Grapalat" w:hAnsi="GHEA Grapalat" w:cs="Sylfaen"/>
          <w:b/>
          <w:bCs/>
          <w:sz w:val="20"/>
          <w:szCs w:val="20"/>
        </w:rPr>
        <w:t>Նախագծման</w:t>
      </w:r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D025AE">
        <w:rPr>
          <w:rFonts w:ascii="GHEA Grapalat" w:hAnsi="GHEA Grapalat" w:cs="Sylfaen"/>
          <w:b/>
          <w:bCs/>
          <w:sz w:val="20"/>
          <w:szCs w:val="20"/>
        </w:rPr>
        <w:t>հիմքը</w:t>
      </w:r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:rsidR="00FA072F" w:rsidRPr="00FA072F" w:rsidRDefault="00FA072F" w:rsidP="00FA07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GHEA Grapalat" w:eastAsia="MS Mincho" w:hAnsi="GHEA Grapalat" w:cs="MS Mincho"/>
          <w:iCs/>
          <w:color w:val="000000" w:themeColor="text1"/>
          <w:sz w:val="20"/>
          <w:szCs w:val="20"/>
          <w:lang w:bidi="hy-AM"/>
        </w:rPr>
      </w:pP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ՀՀ կառավարության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2021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թվականի նոյեմբերի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>18-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ի «Հայաստանի Հանրապետության կառավարության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2021-2026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թվականների գործունեության միջոցառումների ծրագիրը հաստատելու մասին»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N1902-Լ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որոշման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N1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հավելվածով հաստատված (Քաղաքաշինության կոմիտե)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1.1.1.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կետի և ՀՀ կառավարության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2021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թվականի ապրիլի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>8-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ի «Քաղաքաշինության բնագավառի զարգացման ռազմավարական ծրագիրը և ծրագրի իրագործումն, ապահովող միջոցառումների ցանկը հաստատելու մասին»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>N531-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Լ որոշման հավելված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>2-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 xml:space="preserve">ի </w:t>
      </w:r>
      <w:r w:rsidRPr="00FA072F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bidi="hy-AM"/>
        </w:rPr>
        <w:t xml:space="preserve">3.2.2. </w:t>
      </w:r>
      <w:r w:rsidRPr="00FA072F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bidi="hy-AM"/>
        </w:rPr>
        <w:t>կետի համաձայն։</w:t>
      </w:r>
    </w:p>
    <w:p w:rsidR="00FA072F" w:rsidRPr="00FA072F" w:rsidRDefault="00FA072F" w:rsidP="00FA07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bidi="hy-AM"/>
        </w:rPr>
      </w:pPr>
      <w:r w:rsidRPr="00FA072F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bidi="hy-AM"/>
        </w:rPr>
        <w:t>Կոտայքի մարզպետի 2022թ</w:t>
      </w:r>
      <w:r w:rsidRPr="00FA072F">
        <w:rPr>
          <w:rFonts w:ascii="MS Mincho" w:eastAsia="MS Mincho" w:hAnsi="MS Mincho" w:cs="MS Mincho" w:hint="eastAsia"/>
          <w:iCs/>
          <w:color w:val="215868" w:themeColor="accent5" w:themeShade="80"/>
          <w:sz w:val="24"/>
          <w:szCs w:val="24"/>
          <w:lang w:bidi="hy-AM"/>
        </w:rPr>
        <w:t>․</w:t>
      </w:r>
      <w:r w:rsidRPr="00FA072F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bidi="hy-AM"/>
        </w:rPr>
        <w:t xml:space="preserve"> ____-ի __-ի  «Կոտայքի մարզի Կոտայք-1, Կոտայք-2, Կոտայք-3, Կոտայք-4, Կոտայք-5, Կոտայք-6, Կոտայք-7, Կոտայք-8, Կոտայք-9 և Կոտայք-10 համակցված տարածական պլանավորման փաստաթղթերի նախագծման առաջադրանքները հաստատելու մասին» N ____-Ա որոշում։</w:t>
      </w:r>
    </w:p>
    <w:p w:rsidR="00FA072F" w:rsidRPr="00FA072F" w:rsidRDefault="00FA072F" w:rsidP="00FA07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bidi="hy-AM"/>
        </w:rPr>
      </w:pPr>
      <w:r w:rsidRPr="00FA072F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bidi="hy-AM"/>
        </w:rPr>
        <w:t>Կոտայքի մարզի Գառնի համայնքի ավագանու 2022թ</w:t>
      </w:r>
      <w:r w:rsidRPr="00FA072F">
        <w:rPr>
          <w:rFonts w:ascii="GHEA Grapalat" w:eastAsia="MS Mincho" w:hAnsi="GHEA Grapalat" w:cs="MS Mincho" w:hint="eastAsia"/>
          <w:iCs/>
          <w:color w:val="215868" w:themeColor="accent5" w:themeShade="80"/>
          <w:sz w:val="24"/>
          <w:szCs w:val="24"/>
          <w:lang w:bidi="hy-AM"/>
        </w:rPr>
        <w:t>․</w:t>
      </w:r>
      <w:r w:rsidRPr="00FA072F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bidi="hy-AM"/>
        </w:rPr>
        <w:t xml:space="preserve"> ____-ի __-ի «Կոտայքի մարզի Գառնի համայնքի գլխավոր հատակագծի մշակման առաջադրանքը հաստատելու մասին» N ____-Ա որոշում</w:t>
      </w:r>
      <w:r w:rsidRPr="00FA072F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bidi="hy-AM"/>
        </w:rPr>
        <w:t>։</w:t>
      </w:r>
    </w:p>
    <w:p w:rsidR="002565E5" w:rsidRPr="00FA072F" w:rsidRDefault="002565E5" w:rsidP="002565E5">
      <w:pPr>
        <w:pStyle w:val="ListParagraph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GHEA Grapalat" w:hAnsi="GHEA Grapalat"/>
          <w:i/>
          <w:color w:val="632423"/>
          <w:sz w:val="20"/>
          <w:szCs w:val="20"/>
        </w:rPr>
      </w:pPr>
    </w:p>
    <w:p w:rsidR="002565E5" w:rsidRPr="0069576B" w:rsidRDefault="002565E5" w:rsidP="002565E5">
      <w:pPr>
        <w:rPr>
          <w:rFonts w:ascii="GHEA Grapalat" w:hAnsi="GHEA Grapalat"/>
          <w:color w:val="2E74B5"/>
          <w:sz w:val="20"/>
          <w:szCs w:val="20"/>
          <w:lang w:val="af-ZA" w:eastAsia="hy-AM"/>
        </w:rPr>
      </w:pPr>
    </w:p>
    <w:p w:rsidR="002565E5" w:rsidRPr="0075463A" w:rsidRDefault="002565E5" w:rsidP="002565E5">
      <w:pPr>
        <w:pStyle w:val="Heading2"/>
        <w:rPr>
          <w:rFonts w:ascii="GHEA Grapalat" w:hAnsi="GHEA Grapalat" w:cs="Sylfaen"/>
          <w:lang w:val="af-ZA"/>
        </w:rPr>
      </w:pPr>
      <w:r w:rsidRPr="0069576B">
        <w:rPr>
          <w:rFonts w:ascii="GHEA Grapalat" w:hAnsi="GHEA Grapalat"/>
          <w:lang w:val="af-ZA"/>
        </w:rPr>
        <w:t xml:space="preserve">5. </w:t>
      </w:r>
      <w:proofErr w:type="spellStart"/>
      <w:r w:rsidRPr="0069576B">
        <w:rPr>
          <w:rFonts w:ascii="GHEA Grapalat" w:hAnsi="GHEA Grapalat" w:cs="Sylfaen"/>
        </w:rPr>
        <w:t>Համայնքի</w:t>
      </w:r>
      <w:proofErr w:type="spellEnd"/>
      <w:r w:rsidRPr="0069576B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զարգացմանն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առնչվող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պետական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կառավարման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r w:rsidRPr="0069576B">
        <w:rPr>
          <w:rFonts w:ascii="GHEA Grapalat" w:hAnsi="GHEA Grapalat" w:cs="Sylfaen"/>
        </w:rPr>
        <w:t>և</w:t>
      </w:r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տեղական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ինքնակառավարման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մարմինների</w:t>
      </w:r>
      <w:proofErr w:type="spellEnd"/>
      <w:r w:rsidRPr="0069576B">
        <w:rPr>
          <w:rFonts w:ascii="GHEA Grapalat" w:hAnsi="GHEA Grapalat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որոշումները</w:t>
      </w:r>
      <w:proofErr w:type="spellEnd"/>
    </w:p>
    <w:p w:rsidR="00B705EB" w:rsidRPr="00B705EB" w:rsidRDefault="00B705EB" w:rsidP="00B705EB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B75234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val="hy-AM" w:bidi="hy-AM"/>
        </w:rPr>
        <w:t>Կառավարության 2012թ. հոկտեմբերի 25-ի N1351-Ն և Կառավարության 2012թ. փետրվարի 9-ի N138 որոշումներ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։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233"/>
        <w:gridCol w:w="7672"/>
      </w:tblGrid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5.1. 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Մարզի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համայնքների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proofErr w:type="spellEnd"/>
          </w:p>
        </w:tc>
      </w:tr>
      <w:tr w:rsidR="002565E5" w:rsidRPr="00951764" w:rsidTr="00F95850">
        <w:tc>
          <w:tcPr>
            <w:tcW w:w="1127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ՀՀ 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Կոտայքի</w:t>
            </w: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մարզ</w:t>
            </w:r>
          </w:p>
        </w:tc>
        <w:tc>
          <w:tcPr>
            <w:tcW w:w="3873" w:type="pct"/>
          </w:tcPr>
          <w:p w:rsidR="002565E5" w:rsidRPr="00240801" w:rsidRDefault="002565E5" w:rsidP="002565E5">
            <w:pPr>
              <w:pStyle w:val="ListParagraph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ՀՀ Կառավարության 2003 թվականի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դեկտեմբերի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24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-ի N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1793-Ն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որոշմամբ հաստատված «Հայաստանի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մարզի պատմության և մշակույթի անշարժ հուշարձանների պետական ցուցակ», </w:t>
            </w:r>
          </w:p>
          <w:p w:rsidR="002565E5" w:rsidRPr="0069576B" w:rsidRDefault="002565E5" w:rsidP="002565E5">
            <w:pPr>
              <w:pStyle w:val="ListParagraph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 2017-2025 թվականների տարածքային զարգացման ռազմավարություն, Նախագիծ է</w:t>
            </w:r>
          </w:p>
        </w:tc>
      </w:tr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873" w:type="pct"/>
          </w:tcPr>
          <w:p w:rsidR="002565E5" w:rsidRPr="0069576B" w:rsidRDefault="0039172D" w:rsidP="00F95850">
            <w:pPr>
              <w:pStyle w:val="a"/>
              <w:spacing w:after="0"/>
              <w:ind w:left="57"/>
              <w:jc w:val="right"/>
              <w:rPr>
                <w:rFonts w:ascii="GHEA Grapalat" w:hAnsi="GHEA Grapalat" w:cs="Sylfaen"/>
                <w:color w:val="0033CC"/>
                <w:sz w:val="20"/>
                <w:szCs w:val="20"/>
                <w:lang w:val="af-ZA"/>
              </w:rPr>
            </w:pPr>
            <w:hyperlink r:id="rId7" w:history="1">
              <w:r w:rsidR="002565E5" w:rsidRPr="0069576B">
                <w:rPr>
                  <w:rStyle w:val="Hyperlink"/>
                  <w:rFonts w:ascii="GHEA Grapalat" w:hAnsi="GHEA Grapalat" w:cs="Sylfaen"/>
                  <w:color w:val="0033CC"/>
                  <w:sz w:val="20"/>
                  <w:szCs w:val="20"/>
                  <w:lang w:val="af-ZA"/>
                </w:rPr>
                <w:t>http://www.arlis.am/</w:t>
              </w:r>
            </w:hyperlink>
          </w:p>
          <w:p w:rsidR="002565E5" w:rsidRPr="0069576B" w:rsidRDefault="002565E5" w:rsidP="00F95850">
            <w:pPr>
              <w:pStyle w:val="a"/>
              <w:spacing w:after="0"/>
              <w:ind w:left="57"/>
              <w:jc w:val="righ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565E5" w:rsidRPr="0069576B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color w:val="2E74B5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lastRenderedPageBreak/>
              <w:t>Գողթ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</w:tbl>
    <w:p w:rsidR="002565E5" w:rsidRDefault="002565E5" w:rsidP="002565E5">
      <w:pPr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  <w:t>*  Համայնքների զարգացման ծրագրերը կցվում են</w:t>
      </w:r>
    </w:p>
    <w:p w:rsidR="00A754C9" w:rsidRPr="00A754C9" w:rsidRDefault="00A754C9" w:rsidP="002565E5">
      <w:pPr>
        <w:rPr>
          <w:rFonts w:ascii="GHEA Grapalat" w:hAnsi="GHEA Grapalat" w:cs="Sylfaen"/>
          <w:color w:val="632423"/>
          <w:sz w:val="20"/>
          <w:szCs w:val="20"/>
          <w:lang w:val="af-ZA"/>
        </w:rPr>
      </w:pPr>
      <w:r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  <w:t>* Կառավարության 2012թ. հոկտեմբերի 25-ի թիվ 1351-Ն և Կառավարության 2012թ. փետրվարի 9-ի թիվ 138 որոշումներ</w:t>
      </w:r>
    </w:p>
    <w:p w:rsidR="0075463A" w:rsidRDefault="0075463A" w:rsidP="002565E5">
      <w:pPr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2565E5" w:rsidRPr="00D025AE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  <w:bookmarkStart w:id="0" w:name="_GoBack"/>
      <w:bookmarkEnd w:id="0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6.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Քաղաքաշինական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այդ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թվում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`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հատուկ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կարգավորման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օբյեկտների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),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գյուղատնտեսական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բնապահպանական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պատմամշակութային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և</w:t>
      </w:r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այլ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սահմանափակումներին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ինչպես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նաև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բնական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և</w:t>
      </w:r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տեխնածին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վտանգավոր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երևույթներից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տարածքների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պաշտպանության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միջոցառումներին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վերաբերող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հիմնական</w:t>
      </w:r>
      <w:proofErr w:type="spellEnd"/>
      <w:r w:rsidRPr="00D025AE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615786" w:rsidRPr="00391F2C" w:rsidRDefault="00A76836" w:rsidP="00615786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76836">
        <w:rPr>
          <w:rFonts w:cs="Calibri"/>
          <w:color w:val="FF0000"/>
          <w:sz w:val="20"/>
          <w:szCs w:val="20"/>
          <w:shd w:val="clear" w:color="auto" w:fill="FFFFFF"/>
          <w:lang w:val="af-ZA"/>
        </w:rPr>
        <w:t> </w:t>
      </w:r>
      <w:r w:rsidR="00615786" w:rsidRPr="002F43F7">
        <w:rPr>
          <w:rFonts w:ascii="GHEA Grapalat" w:hAnsi="GHEA Grapalat"/>
          <w:color w:val="215868" w:themeColor="accent5" w:themeShade="80"/>
          <w:sz w:val="24"/>
          <w:szCs w:val="24"/>
          <w:lang w:val="hy-AM"/>
        </w:rPr>
        <w:t>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(2002թ. հունիսի 12-ի «Սեյսմիկ պաշտպանություն մասին» ՀՕ-376-Ն oրենքի 19-րդ հոդվածի 4-րդ մաս, 21-րդ հոդվածի 2-րդ մաս, Կառավարության 2012թ. փետրվարի 9-ի N138 որոշման N2 հավելվածի 3.3.1 կետ, Կառավարության 2011թ. դեկտեմբերի 29-ի N1920-Ն որոշման N1 հավելվածով սահմանված կարգի 66-րդ կետի 3-րդ ենթակետի «ե» պարբերություն և Կառավարության 2012թ. հոկտեմբերի 25-ի N1351-Ն որոշման 2–րդ կետի 4-րդ ենթակետի դրույթներ և 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սկզբունքներ»» սահմանված դրույթների hամաձայն)</w:t>
      </w:r>
      <w:r w:rsidR="00615786" w:rsidRPr="00391F2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2565E5" w:rsidRPr="0069576B" w:rsidRDefault="002565E5" w:rsidP="00615786">
      <w:pPr>
        <w:jc w:val="both"/>
        <w:rPr>
          <w:rFonts w:ascii="GHEA Grapalat" w:hAnsi="GHEA Grapalat" w:cs="Times LatArm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Տեղեկատվություն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համայնքում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առկա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ելակետային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տվյալների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վերաբերյալ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առկայության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15786">
        <w:rPr>
          <w:rFonts w:ascii="GHEA Grapalat" w:hAnsi="GHEA Grapalat" w:cs="Sylfaen"/>
          <w:b/>
          <w:bCs/>
          <w:sz w:val="20"/>
          <w:szCs w:val="20"/>
          <w:lang w:val="hy-AM"/>
        </w:rPr>
        <w:t>դեպքում</w:t>
      </w:r>
      <w:r w:rsidRPr="0069576B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</w:p>
    <w:p w:rsidR="002565E5" w:rsidRPr="005924AE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472"/>
        <w:gridCol w:w="7433"/>
      </w:tblGrid>
      <w:tr w:rsidR="002565E5" w:rsidRPr="0069576B" w:rsidTr="00F95850">
        <w:tc>
          <w:tcPr>
            <w:tcW w:w="1248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Առկա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ելակետային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նյութեր</w:t>
            </w:r>
            <w:proofErr w:type="spellEnd"/>
          </w:p>
        </w:tc>
      </w:tr>
      <w:tr w:rsidR="002565E5" w:rsidRPr="00917E7F" w:rsidTr="00F95850">
        <w:tc>
          <w:tcPr>
            <w:tcW w:w="1248" w:type="pct"/>
          </w:tcPr>
          <w:p w:rsidR="002565E5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  <w:vMerge w:val="restart"/>
          </w:tcPr>
          <w:p w:rsidR="002565E5" w:rsidRPr="00175BDA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175BDA">
              <w:rPr>
                <w:rFonts w:ascii="GHEA Grapalat" w:hAnsi="GHEA Grapalat" w:cs="Sylfaen"/>
                <w:color w:val="632423"/>
                <w:lang w:val="af-ZA"/>
              </w:rPr>
              <w:t xml:space="preserve">ՀՀ կառավարության 2012 թվականի դեկտեմբերի 27-ի  N1596-Ն որոշմամբ հաստատված Գառնի  համայնքի գլխավոր հատակագիծ, </w:t>
            </w:r>
          </w:p>
          <w:p w:rsidR="002565E5" w:rsidRPr="00BC69D1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175BDA">
              <w:rPr>
                <w:rFonts w:ascii="GHEA Grapalat" w:hAnsi="GHEA Grapalat" w:cs="Sylfaen"/>
                <w:color w:val="632423"/>
                <w:lang w:val="af-ZA"/>
              </w:rPr>
              <w:t>Գեղադիր</w:t>
            </w:r>
            <w:r w:rsidRPr="00BC69D1">
              <w:rPr>
                <w:rFonts w:ascii="GHEA Grapalat" w:hAnsi="GHEA Grapalat" w:cs="Sylfaen"/>
                <w:color w:val="632423"/>
                <w:lang w:val="af-ZA"/>
              </w:rPr>
              <w:t xml:space="preserve"> համայնքի ավագանու  2017 թվականի </w:t>
            </w:r>
            <w:r w:rsidR="00615786">
              <w:rPr>
                <w:rFonts w:ascii="GHEA Grapalat" w:hAnsi="GHEA Grapalat" w:cs="Sylfaen"/>
                <w:color w:val="632423"/>
                <w:lang w:val="af-ZA"/>
              </w:rPr>
              <w:t xml:space="preserve">օգոստոսի 08-ի </w:t>
            </w:r>
            <w:r w:rsidR="00615786" w:rsidRPr="00175BDA">
              <w:rPr>
                <w:rFonts w:ascii="GHEA Grapalat" w:hAnsi="GHEA Grapalat" w:cs="Sylfaen"/>
                <w:color w:val="632423"/>
                <w:lang w:val="af-ZA"/>
              </w:rPr>
              <w:t xml:space="preserve">N </w:t>
            </w:r>
            <w:r w:rsidR="00615786">
              <w:rPr>
                <w:rFonts w:ascii="GHEA Grapalat" w:hAnsi="GHEA Grapalat" w:cs="Sylfaen"/>
                <w:color w:val="632423"/>
                <w:lang w:val="af-ZA"/>
              </w:rPr>
              <w:t>32</w:t>
            </w:r>
            <w:r w:rsidR="00615786" w:rsidRPr="00175BDA">
              <w:rPr>
                <w:rFonts w:ascii="GHEA Grapalat" w:hAnsi="GHEA Grapalat" w:cs="Sylfaen"/>
                <w:color w:val="632423"/>
                <w:lang w:val="af-ZA"/>
              </w:rPr>
              <w:t>-Ն</w:t>
            </w:r>
            <w:r w:rsidR="004769BB">
              <w:rPr>
                <w:rFonts w:ascii="GHEA Grapalat" w:hAnsi="GHEA Grapalat" w:cs="Sylfaen"/>
                <w:color w:val="632423"/>
                <w:lang w:val="af-ZA"/>
              </w:rPr>
              <w:t xml:space="preserve"> </w:t>
            </w:r>
            <w:r w:rsidRPr="00BC69D1">
              <w:rPr>
                <w:rFonts w:ascii="GHEA Grapalat" w:hAnsi="GHEA Grapalat" w:cs="Sylfaen"/>
                <w:color w:val="632423"/>
                <w:lang w:val="af-ZA"/>
              </w:rPr>
              <w:t>որոշմամբ հաստատված գլխավոր հատակագիծ,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Pr="00175BDA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175BDA">
              <w:rPr>
                <w:rFonts w:ascii="GHEA Grapalat" w:hAnsi="GHEA Grapalat" w:cs="Sylfaen"/>
                <w:color w:val="632423"/>
                <w:lang w:val="af-ZA"/>
              </w:rPr>
              <w:t>Գողթ համայնքի ավագանու  2020 թվականի ապրիլի 27-ի N 15-Ն որոշմամբ հաստատված գլխավոր հատակագիծ,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Pr="00175BDA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Գեղարդ</w:t>
            </w: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eastAsia="hy-AM"/>
        </w:rPr>
      </w:pPr>
    </w:p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8.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զարգացման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առանձնահատկություններից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բխող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լրացուցիչ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25"/>
        <w:gridCol w:w="6264"/>
        <w:gridCol w:w="1716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16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Լրացուցիչ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Գառնի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color w:val="2E74B5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Գեղադիր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lastRenderedPageBreak/>
              <w:t>Գեղարդ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Գողթ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Հացավան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ListParagraph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27F07">
              <w:rPr>
                <w:rFonts w:ascii="GHEA Grapalat" w:hAnsi="GHEA Grapalat" w:cs="Arial Armenian"/>
                <w:sz w:val="20"/>
                <w:szCs w:val="20"/>
                <w:lang w:val="af-ZA"/>
              </w:rPr>
              <w:t>Ողջաբերդ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ListParagraph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</w:tbl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Default="002565E5" w:rsidP="002565E5">
      <w:pPr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9.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գոտևորման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հողերի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գոտիավորման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օգտագործման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սխեմային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ներկայացվող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615786" w:rsidRPr="00391F2C" w:rsidRDefault="00615786" w:rsidP="00615786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2F43F7">
        <w:rPr>
          <w:rFonts w:ascii="GHEA Grapalat" w:hAnsi="GHEA Grapalat"/>
          <w:color w:val="215868" w:themeColor="accent5" w:themeShade="80"/>
          <w:sz w:val="24"/>
          <w:szCs w:val="24"/>
          <w:lang w:val="hy-AM" w:bidi="hy-AM"/>
        </w:rPr>
        <w:t xml:space="preserve">Բնակավայրերի տարածքների գոտիավորման նախագծերը </w:t>
      </w:r>
      <w:r w:rsidRPr="002F43F7">
        <w:rPr>
          <w:rFonts w:cs="Calibri"/>
          <w:color w:val="215868" w:themeColor="accent5" w:themeShade="80"/>
          <w:sz w:val="24"/>
          <w:szCs w:val="24"/>
          <w:lang w:val="hy-AM" w:bidi="hy-AM"/>
        </w:rPr>
        <w:t> </w:t>
      </w:r>
      <w:r w:rsidRPr="002F43F7">
        <w:rPr>
          <w:rFonts w:ascii="GHEA Grapalat" w:hAnsi="GHEA Grapalat"/>
          <w:color w:val="215868" w:themeColor="accent5" w:themeShade="80"/>
          <w:sz w:val="24"/>
          <w:szCs w:val="24"/>
          <w:lang w:val="hy-AM" w:bidi="hy-AM"/>
        </w:rPr>
        <w:t>մշակվում են Կառավարության 2011թ. դեկտեմբերի 29-ի N1920-Ն որոշման N2 հավելվածով սահմանված գոտևորման մասի պահանջների համաձայն</w:t>
      </w:r>
      <w:r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>։</w:t>
      </w:r>
    </w:p>
    <w:p w:rsidR="002565E5" w:rsidRPr="00615786" w:rsidRDefault="002565E5" w:rsidP="002565E5">
      <w:pPr>
        <w:rPr>
          <w:rFonts w:ascii="GHEA Grapalat" w:hAnsi="GHEA Grapalat"/>
          <w:sz w:val="20"/>
          <w:szCs w:val="20"/>
          <w:lang w:val="hy-AM" w:eastAsia="hy-AM"/>
        </w:rPr>
      </w:pPr>
    </w:p>
    <w:p w:rsidR="002565E5" w:rsidRPr="00D025AE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  10.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գրաֆիկական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և</w:t>
      </w: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տեքստային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մասերին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ներկայացվող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հիմնական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615786" w:rsidRPr="00391F2C" w:rsidRDefault="00615786" w:rsidP="00615786">
      <w:pPr>
        <w:tabs>
          <w:tab w:val="left" w:pos="1005"/>
        </w:tabs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ab/>
      </w:r>
      <w:r w:rsidRPr="002F43F7">
        <w:rPr>
          <w:rFonts w:ascii="GHEA Grapalat" w:eastAsia="MS Mincho" w:hAnsi="GHEA Grapalat" w:cs="MS Mincho"/>
          <w:iCs/>
          <w:color w:val="215868" w:themeColor="accent5" w:themeShade="80"/>
          <w:sz w:val="24"/>
          <w:szCs w:val="24"/>
          <w:lang w:val="hy-AM" w:bidi="hy-AM"/>
        </w:rPr>
        <w:t>Համակցված փաստաթղթերի գրաֆիկական և տեքստային մասերը մշակվում են Կառավարության 2011թ. դեկտեմբերի 29-ի N1920-Ն որոշման N1 հավելվածով սահմանված կարգի 77-րդ, 78-րդ և Կառավարության 2015թ. մարտի 3-ի N596-Ն N2 հավելվածի կարգի 19-րդ կետերի պահանջների համաձայն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։</w:t>
      </w:r>
    </w:p>
    <w:p w:rsidR="00F52596" w:rsidRPr="00615786" w:rsidRDefault="00F52596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sectPr w:rsidR="00F52596" w:rsidRPr="00615786" w:rsidSect="00280446"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AF" w:rsidRDefault="00A439AF" w:rsidP="00727754">
      <w:pPr>
        <w:spacing w:after="0" w:line="240" w:lineRule="auto"/>
      </w:pPr>
      <w:r>
        <w:separator/>
      </w:r>
    </w:p>
  </w:endnote>
  <w:endnote w:type="continuationSeparator" w:id="0">
    <w:p w:rsidR="00A439AF" w:rsidRDefault="00A439AF" w:rsidP="007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AF" w:rsidRDefault="00A439AF" w:rsidP="00727754">
      <w:pPr>
        <w:spacing w:after="0" w:line="240" w:lineRule="auto"/>
      </w:pPr>
      <w:r>
        <w:separator/>
      </w:r>
    </w:p>
  </w:footnote>
  <w:footnote w:type="continuationSeparator" w:id="0">
    <w:p w:rsidR="00A439AF" w:rsidRDefault="00A439AF" w:rsidP="0072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1E97D62"/>
    <w:multiLevelType w:val="hybridMultilevel"/>
    <w:tmpl w:val="E1EE2BD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17C"/>
    <w:multiLevelType w:val="multilevel"/>
    <w:tmpl w:val="49D26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40AA9"/>
    <w:multiLevelType w:val="hybridMultilevel"/>
    <w:tmpl w:val="0E7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3B73"/>
    <w:multiLevelType w:val="hybridMultilevel"/>
    <w:tmpl w:val="C0DAF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5D03D4"/>
    <w:multiLevelType w:val="hybridMultilevel"/>
    <w:tmpl w:val="4E14AAD8"/>
    <w:lvl w:ilvl="0" w:tplc="034AA42A">
      <w:start w:val="1"/>
      <w:numFmt w:val="decimal"/>
      <w:lvlText w:val="%1."/>
      <w:lvlJc w:val="left"/>
      <w:pPr>
        <w:ind w:left="2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8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74676194"/>
    <w:multiLevelType w:val="hybridMultilevel"/>
    <w:tmpl w:val="283E51CE"/>
    <w:lvl w:ilvl="0" w:tplc="5BFADF90">
      <w:start w:val="2017"/>
      <w:numFmt w:val="bullet"/>
      <w:lvlText w:val="-"/>
      <w:lvlJc w:val="left"/>
      <w:pPr>
        <w:ind w:left="777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Heading2"/>
      <w:lvlText w:val="%1.%2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857"/>
    <w:rsid w:val="00005275"/>
    <w:rsid w:val="00022857"/>
    <w:rsid w:val="00022993"/>
    <w:rsid w:val="00024239"/>
    <w:rsid w:val="00027919"/>
    <w:rsid w:val="00031BD4"/>
    <w:rsid w:val="00044E09"/>
    <w:rsid w:val="00046B9E"/>
    <w:rsid w:val="00046DDD"/>
    <w:rsid w:val="00062112"/>
    <w:rsid w:val="00066F13"/>
    <w:rsid w:val="00097AF0"/>
    <w:rsid w:val="00097B70"/>
    <w:rsid w:val="000A04CE"/>
    <w:rsid w:val="000B2565"/>
    <w:rsid w:val="000C73DF"/>
    <w:rsid w:val="000E549E"/>
    <w:rsid w:val="00115212"/>
    <w:rsid w:val="00117D2F"/>
    <w:rsid w:val="00185BF1"/>
    <w:rsid w:val="001A3BBD"/>
    <w:rsid w:val="001B317C"/>
    <w:rsid w:val="001C0AA0"/>
    <w:rsid w:val="001D10E2"/>
    <w:rsid w:val="001D7BC2"/>
    <w:rsid w:val="001E5B33"/>
    <w:rsid w:val="0021449B"/>
    <w:rsid w:val="00235264"/>
    <w:rsid w:val="00240801"/>
    <w:rsid w:val="00246BDD"/>
    <w:rsid w:val="00246EE7"/>
    <w:rsid w:val="002565E5"/>
    <w:rsid w:val="00274606"/>
    <w:rsid w:val="00275F97"/>
    <w:rsid w:val="00280446"/>
    <w:rsid w:val="002B3B07"/>
    <w:rsid w:val="002B7114"/>
    <w:rsid w:val="00311054"/>
    <w:rsid w:val="0031319B"/>
    <w:rsid w:val="00320750"/>
    <w:rsid w:val="003548B5"/>
    <w:rsid w:val="00367ACD"/>
    <w:rsid w:val="0039172D"/>
    <w:rsid w:val="003C0B8B"/>
    <w:rsid w:val="003C2D64"/>
    <w:rsid w:val="003D0441"/>
    <w:rsid w:val="003E1D47"/>
    <w:rsid w:val="00406052"/>
    <w:rsid w:val="004148B0"/>
    <w:rsid w:val="00416AA0"/>
    <w:rsid w:val="00417FFD"/>
    <w:rsid w:val="00423F0C"/>
    <w:rsid w:val="00446157"/>
    <w:rsid w:val="00457767"/>
    <w:rsid w:val="004631ED"/>
    <w:rsid w:val="00474D2A"/>
    <w:rsid w:val="004769BB"/>
    <w:rsid w:val="004962D7"/>
    <w:rsid w:val="004979A8"/>
    <w:rsid w:val="004A156C"/>
    <w:rsid w:val="004B0C5A"/>
    <w:rsid w:val="004C367A"/>
    <w:rsid w:val="004C4BBC"/>
    <w:rsid w:val="004E499F"/>
    <w:rsid w:val="004F6A35"/>
    <w:rsid w:val="005272BE"/>
    <w:rsid w:val="0053131C"/>
    <w:rsid w:val="005347D4"/>
    <w:rsid w:val="00536334"/>
    <w:rsid w:val="00547A78"/>
    <w:rsid w:val="00552E0B"/>
    <w:rsid w:val="00555334"/>
    <w:rsid w:val="00575F80"/>
    <w:rsid w:val="0058097C"/>
    <w:rsid w:val="005825B1"/>
    <w:rsid w:val="00584063"/>
    <w:rsid w:val="005924AE"/>
    <w:rsid w:val="005A72FB"/>
    <w:rsid w:val="005B049A"/>
    <w:rsid w:val="005C2A46"/>
    <w:rsid w:val="005C3469"/>
    <w:rsid w:val="00610C50"/>
    <w:rsid w:val="00615786"/>
    <w:rsid w:val="006176DA"/>
    <w:rsid w:val="0062074E"/>
    <w:rsid w:val="00626730"/>
    <w:rsid w:val="00636DAB"/>
    <w:rsid w:val="00646B9D"/>
    <w:rsid w:val="00652290"/>
    <w:rsid w:val="006529E7"/>
    <w:rsid w:val="00692668"/>
    <w:rsid w:val="0069576B"/>
    <w:rsid w:val="006A5975"/>
    <w:rsid w:val="006C645E"/>
    <w:rsid w:val="006C675F"/>
    <w:rsid w:val="006D05E3"/>
    <w:rsid w:val="006D0D03"/>
    <w:rsid w:val="006D1BD4"/>
    <w:rsid w:val="006D6E72"/>
    <w:rsid w:val="006D731A"/>
    <w:rsid w:val="00706207"/>
    <w:rsid w:val="00715D6E"/>
    <w:rsid w:val="00727754"/>
    <w:rsid w:val="00735226"/>
    <w:rsid w:val="00753D78"/>
    <w:rsid w:val="0075463A"/>
    <w:rsid w:val="00771CFE"/>
    <w:rsid w:val="007802CA"/>
    <w:rsid w:val="007845FC"/>
    <w:rsid w:val="00794F82"/>
    <w:rsid w:val="007B05A7"/>
    <w:rsid w:val="007B7F65"/>
    <w:rsid w:val="007C26BA"/>
    <w:rsid w:val="007D59E5"/>
    <w:rsid w:val="007D661B"/>
    <w:rsid w:val="007E1D7F"/>
    <w:rsid w:val="007F16E6"/>
    <w:rsid w:val="007F43BA"/>
    <w:rsid w:val="0080774E"/>
    <w:rsid w:val="00813EB2"/>
    <w:rsid w:val="00814169"/>
    <w:rsid w:val="00815419"/>
    <w:rsid w:val="008165AD"/>
    <w:rsid w:val="00831AC1"/>
    <w:rsid w:val="00833A6F"/>
    <w:rsid w:val="00887705"/>
    <w:rsid w:val="00896A77"/>
    <w:rsid w:val="008A1FA0"/>
    <w:rsid w:val="008C1FFB"/>
    <w:rsid w:val="008F4CE0"/>
    <w:rsid w:val="00907F95"/>
    <w:rsid w:val="00917E7F"/>
    <w:rsid w:val="00922182"/>
    <w:rsid w:val="0092289B"/>
    <w:rsid w:val="0092790F"/>
    <w:rsid w:val="00927EAA"/>
    <w:rsid w:val="009442B4"/>
    <w:rsid w:val="00951764"/>
    <w:rsid w:val="00967E39"/>
    <w:rsid w:val="0098207C"/>
    <w:rsid w:val="009E3AD4"/>
    <w:rsid w:val="009E4787"/>
    <w:rsid w:val="009E6CC3"/>
    <w:rsid w:val="009F52D0"/>
    <w:rsid w:val="00A11068"/>
    <w:rsid w:val="00A12556"/>
    <w:rsid w:val="00A17A81"/>
    <w:rsid w:val="00A2543A"/>
    <w:rsid w:val="00A40D03"/>
    <w:rsid w:val="00A41CD7"/>
    <w:rsid w:val="00A439AF"/>
    <w:rsid w:val="00A73DBC"/>
    <w:rsid w:val="00A754C9"/>
    <w:rsid w:val="00A76836"/>
    <w:rsid w:val="00A910C9"/>
    <w:rsid w:val="00A97429"/>
    <w:rsid w:val="00A97B97"/>
    <w:rsid w:val="00AB07B1"/>
    <w:rsid w:val="00B02777"/>
    <w:rsid w:val="00B1342C"/>
    <w:rsid w:val="00B217DD"/>
    <w:rsid w:val="00B23C90"/>
    <w:rsid w:val="00B27CC1"/>
    <w:rsid w:val="00B705EB"/>
    <w:rsid w:val="00B76A82"/>
    <w:rsid w:val="00BD51A1"/>
    <w:rsid w:val="00BD663C"/>
    <w:rsid w:val="00BE30CF"/>
    <w:rsid w:val="00BF03DA"/>
    <w:rsid w:val="00BF2BC0"/>
    <w:rsid w:val="00BF44F7"/>
    <w:rsid w:val="00C02F9D"/>
    <w:rsid w:val="00C1751B"/>
    <w:rsid w:val="00C22971"/>
    <w:rsid w:val="00C86F6B"/>
    <w:rsid w:val="00C9208F"/>
    <w:rsid w:val="00CA4071"/>
    <w:rsid w:val="00CC584A"/>
    <w:rsid w:val="00CD0223"/>
    <w:rsid w:val="00D02533"/>
    <w:rsid w:val="00D025AE"/>
    <w:rsid w:val="00D03D34"/>
    <w:rsid w:val="00D313E6"/>
    <w:rsid w:val="00D40230"/>
    <w:rsid w:val="00D7263A"/>
    <w:rsid w:val="00D83CEC"/>
    <w:rsid w:val="00DA4129"/>
    <w:rsid w:val="00DF04F1"/>
    <w:rsid w:val="00DF6048"/>
    <w:rsid w:val="00E0482C"/>
    <w:rsid w:val="00E04956"/>
    <w:rsid w:val="00E6246E"/>
    <w:rsid w:val="00E93A4D"/>
    <w:rsid w:val="00E93FE0"/>
    <w:rsid w:val="00E96910"/>
    <w:rsid w:val="00ED76AA"/>
    <w:rsid w:val="00EF5CBF"/>
    <w:rsid w:val="00EF7DF1"/>
    <w:rsid w:val="00F042C3"/>
    <w:rsid w:val="00F16B4B"/>
    <w:rsid w:val="00F25775"/>
    <w:rsid w:val="00F355A6"/>
    <w:rsid w:val="00F52596"/>
    <w:rsid w:val="00F6741F"/>
    <w:rsid w:val="00F731C8"/>
    <w:rsid w:val="00F95850"/>
    <w:rsid w:val="00F9715A"/>
    <w:rsid w:val="00FA072F"/>
    <w:rsid w:val="00FB25E5"/>
    <w:rsid w:val="00FD67A5"/>
    <w:rsid w:val="00FD7FE0"/>
    <w:rsid w:val="00FE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A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4239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024239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4239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4239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4239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4239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4239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024239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24239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">
    <w:name w:val="Ցուցակի պարբերություն"/>
    <w:basedOn w:val="Normal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Normal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54"/>
  </w:style>
  <w:style w:type="paragraph" w:styleId="Footer">
    <w:name w:val="footer"/>
    <w:basedOn w:val="Normal"/>
    <w:link w:val="FooterChar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Hyperlink">
    <w:name w:val="Hyperlink"/>
    <w:uiPriority w:val="99"/>
    <w:unhideWhenUsed/>
    <w:rsid w:val="00A73DB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Heading1Char">
    <w:name w:val="Heading 1 Char"/>
    <w:link w:val="Heading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Heading2Char">
    <w:name w:val="Heading 2 Char"/>
    <w:link w:val="Heading2"/>
    <w:rsid w:val="00024239"/>
    <w:rPr>
      <w:rFonts w:ascii="Arial LatArm" w:eastAsia="Times New Roman" w:hAnsi="Arial LatArm"/>
      <w:b/>
      <w:i/>
      <w:sz w:val="24"/>
    </w:rPr>
  </w:style>
  <w:style w:type="character" w:customStyle="1" w:styleId="Heading3Char">
    <w:name w:val="Heading 3 Char"/>
    <w:link w:val="Heading3"/>
    <w:semiHidden/>
    <w:rsid w:val="00024239"/>
    <w:rPr>
      <w:rFonts w:ascii="Arial LatArm" w:eastAsia="Times New Roman" w:hAnsi="Arial LatArm"/>
      <w:sz w:val="28"/>
    </w:rPr>
  </w:style>
  <w:style w:type="character" w:customStyle="1" w:styleId="Heading4Char">
    <w:name w:val="Heading 4 Char"/>
    <w:link w:val="Heading4"/>
    <w:semiHidden/>
    <w:rsid w:val="00024239"/>
    <w:rPr>
      <w:rFonts w:ascii="Arial LatArm" w:eastAsia="Times New Roman" w:hAnsi="Arial LatArm"/>
      <w:sz w:val="28"/>
    </w:rPr>
  </w:style>
  <w:style w:type="character" w:customStyle="1" w:styleId="Heading5Char">
    <w:name w:val="Heading 5 Char"/>
    <w:link w:val="Heading5"/>
    <w:semiHidden/>
    <w:rsid w:val="00024239"/>
    <w:rPr>
      <w:rFonts w:ascii="Arial LatArm" w:eastAsia="Times New Roman" w:hAnsi="Arial LatArm"/>
      <w:sz w:val="24"/>
    </w:rPr>
  </w:style>
  <w:style w:type="character" w:customStyle="1" w:styleId="Heading6Char">
    <w:name w:val="Heading 6 Char"/>
    <w:link w:val="Heading6"/>
    <w:semiHidden/>
    <w:rsid w:val="00024239"/>
    <w:rPr>
      <w:rFonts w:ascii="Arial LatArm" w:eastAsia="Times New Roman" w:hAnsi="Arial LatArm"/>
      <w:sz w:val="24"/>
    </w:rPr>
  </w:style>
  <w:style w:type="character" w:customStyle="1" w:styleId="Heading7Char">
    <w:name w:val="Heading 7 Char"/>
    <w:link w:val="Heading7"/>
    <w:semiHidden/>
    <w:rsid w:val="00024239"/>
    <w:rPr>
      <w:rFonts w:ascii="Arial LatArm" w:eastAsia="Times New Roman" w:hAnsi="Arial LatArm"/>
      <w:sz w:val="24"/>
    </w:rPr>
  </w:style>
  <w:style w:type="character" w:customStyle="1" w:styleId="Heading8Char">
    <w:name w:val="Heading 8 Char"/>
    <w:link w:val="Heading8"/>
    <w:rsid w:val="00024239"/>
    <w:rPr>
      <w:rFonts w:ascii="Arial LatArm" w:eastAsia="Times New Roman" w:hAnsi="Arial LatArm"/>
      <w:sz w:val="24"/>
    </w:rPr>
  </w:style>
  <w:style w:type="character" w:customStyle="1" w:styleId="Heading9Char">
    <w:name w:val="Heading 9 Char"/>
    <w:link w:val="Heading9"/>
    <w:semiHidden/>
    <w:rsid w:val="00024239"/>
    <w:rPr>
      <w:rFonts w:ascii="Arial LatArm" w:eastAsia="Times New Roman" w:hAnsi="Arial LatArm"/>
      <w:sz w:val="24"/>
    </w:rPr>
  </w:style>
  <w:style w:type="paragraph" w:styleId="NormalWeb">
    <w:name w:val="Normal (Web)"/>
    <w:basedOn w:val="Normal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2182"/>
    <w:rPr>
      <w:b/>
      <w:bCs/>
    </w:rPr>
  </w:style>
  <w:style w:type="character" w:styleId="Emphasis">
    <w:name w:val="Emphasis"/>
    <w:uiPriority w:val="20"/>
    <w:qFormat/>
    <w:rsid w:val="000E54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lis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7233</CharactersWithSpaces>
  <SharedDoc>false</SharedDoc>
  <HLinks>
    <vt:vector size="60" baseType="variant"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HAKHUMYAN</dc:creator>
  <cp:lastModifiedBy>User</cp:lastModifiedBy>
  <cp:revision>35</cp:revision>
  <cp:lastPrinted>2021-01-11T05:50:00Z</cp:lastPrinted>
  <dcterms:created xsi:type="dcterms:W3CDTF">2022-06-09T08:35:00Z</dcterms:created>
  <dcterms:modified xsi:type="dcterms:W3CDTF">2022-11-11T12:43:00Z</dcterms:modified>
</cp:coreProperties>
</file>